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D740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>Sveučilište u Rijeci</w:t>
      </w:r>
    </w:p>
    <w:p w14:paraId="08308E7E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 xml:space="preserve">Pomorski fakultet </w:t>
      </w:r>
    </w:p>
    <w:p w14:paraId="49D71BE3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>OIB 76722145702</w:t>
      </w:r>
    </w:p>
    <w:p w14:paraId="5C55C26F" w14:textId="77777777" w:rsidR="00614C12" w:rsidRPr="00AB2607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>RKP</w:t>
      </w:r>
      <w:r w:rsidR="002C15E8" w:rsidRPr="00AB2607">
        <w:rPr>
          <w:rFonts w:ascii="Times New Roman" w:eastAsia="Calibri" w:hAnsi="Times New Roman" w:cs="Times New Roman"/>
          <w:b/>
        </w:rPr>
        <w:t xml:space="preserve"> </w:t>
      </w:r>
      <w:r w:rsidRPr="00AB2607">
        <w:rPr>
          <w:rFonts w:ascii="Times New Roman" w:eastAsia="Calibri" w:hAnsi="Times New Roman" w:cs="Times New Roman"/>
          <w:b/>
        </w:rPr>
        <w:t>22568</w:t>
      </w:r>
    </w:p>
    <w:p w14:paraId="6110F689" w14:textId="77777777" w:rsidR="00614C12" w:rsidRPr="00AB2607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CEDA48" w14:textId="39DE0E25" w:rsidR="00B4366D" w:rsidRPr="00AB2607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 xml:space="preserve">Obrazloženje Općeg dijela </w:t>
      </w:r>
      <w:r w:rsidR="000273F9">
        <w:rPr>
          <w:rFonts w:ascii="Times New Roman" w:eastAsia="Calibri" w:hAnsi="Times New Roman" w:cs="Times New Roman"/>
          <w:b/>
        </w:rPr>
        <w:t xml:space="preserve">izmjena i dopuna </w:t>
      </w:r>
      <w:r w:rsidR="00A64D16" w:rsidRPr="00AB2607">
        <w:rPr>
          <w:rFonts w:ascii="Times New Roman" w:eastAsia="Calibri" w:hAnsi="Times New Roman" w:cs="Times New Roman"/>
          <w:b/>
        </w:rPr>
        <w:t>f</w:t>
      </w:r>
      <w:r w:rsidRPr="00AB2607">
        <w:rPr>
          <w:rFonts w:ascii="Times New Roman" w:eastAsia="Calibri" w:hAnsi="Times New Roman" w:cs="Times New Roman"/>
          <w:b/>
        </w:rPr>
        <w:t xml:space="preserve">inancijskog plana </w:t>
      </w:r>
    </w:p>
    <w:p w14:paraId="3498E74E" w14:textId="70FC97BA" w:rsidR="00614C12" w:rsidRPr="00AB2607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2607">
        <w:rPr>
          <w:rFonts w:ascii="Times New Roman" w:eastAsia="Calibri" w:hAnsi="Times New Roman" w:cs="Times New Roman"/>
          <w:b/>
        </w:rPr>
        <w:t xml:space="preserve">za </w:t>
      </w:r>
      <w:r w:rsidR="000273F9">
        <w:rPr>
          <w:rFonts w:ascii="Times New Roman" w:eastAsia="Calibri" w:hAnsi="Times New Roman" w:cs="Times New Roman"/>
          <w:b/>
        </w:rPr>
        <w:t>2025. godinu</w:t>
      </w:r>
    </w:p>
    <w:p w14:paraId="68EE6B6F" w14:textId="77777777" w:rsidR="00E35379" w:rsidRPr="00AB2607" w:rsidRDefault="00E35379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D9C61D6" w14:textId="77777777" w:rsidR="00F471E7" w:rsidRPr="00AB260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t>PRIHODI I PRIMICI</w:t>
      </w:r>
    </w:p>
    <w:p w14:paraId="1362006C" w14:textId="13862002" w:rsidR="00A6013C" w:rsidRDefault="000273F9" w:rsidP="00624C1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Izmjenama i dopunama u</w:t>
      </w:r>
      <w:r w:rsidR="00A6013C" w:rsidRPr="00AB2607">
        <w:rPr>
          <w:rFonts w:ascii="Times New Roman" w:hAnsi="Times New Roman" w:cs="Times New Roman"/>
        </w:rPr>
        <w:t>kupni prihodi za 202</w:t>
      </w:r>
      <w:r w:rsidR="00044BAC">
        <w:rPr>
          <w:rFonts w:ascii="Times New Roman" w:hAnsi="Times New Roman" w:cs="Times New Roman"/>
        </w:rPr>
        <w:t>5</w:t>
      </w:r>
      <w:r w:rsidR="00A6013C" w:rsidRPr="00AB2607">
        <w:rPr>
          <w:rFonts w:ascii="Times New Roman" w:hAnsi="Times New Roman" w:cs="Times New Roman"/>
        </w:rPr>
        <w:t>. godinu planirani su u iznosu</w:t>
      </w:r>
      <w:r w:rsidR="005B5F53" w:rsidRPr="00AB2607">
        <w:rPr>
          <w:rFonts w:ascii="Times New Roman" w:hAnsi="Times New Roman" w:cs="Times New Roman"/>
        </w:rPr>
        <w:t xml:space="preserve"> od</w:t>
      </w:r>
      <w:r w:rsidR="00A6013C" w:rsidRPr="00AB2607">
        <w:rPr>
          <w:rFonts w:ascii="Times New Roman" w:hAnsi="Times New Roman" w:cs="Times New Roman"/>
        </w:rPr>
        <w:t xml:space="preserve"> </w:t>
      </w:r>
      <w:r w:rsidR="003A1484">
        <w:rPr>
          <w:rFonts w:ascii="Times New Roman" w:hAnsi="Times New Roman" w:cs="Times New Roman"/>
        </w:rPr>
        <w:t xml:space="preserve">8.182.998 </w:t>
      </w:r>
      <w:r w:rsidR="00A6013C" w:rsidRPr="00AB2607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što je </w:t>
      </w:r>
      <w:r w:rsidR="003A1484">
        <w:rPr>
          <w:rFonts w:ascii="Times New Roman" w:hAnsi="Times New Roman" w:cs="Times New Roman"/>
        </w:rPr>
        <w:t>22,36</w:t>
      </w:r>
      <w:r>
        <w:rPr>
          <w:rFonts w:ascii="Times New Roman" w:hAnsi="Times New Roman" w:cs="Times New Roman"/>
        </w:rPr>
        <w:t xml:space="preserve">% više u odnosu na izvorni plan. </w:t>
      </w:r>
    </w:p>
    <w:p w14:paraId="4DFE5517" w14:textId="2D84CD40" w:rsidR="000273F9" w:rsidRPr="00AB2607" w:rsidRDefault="000273F9" w:rsidP="00624C1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povećanje planiranih prihoda najviše je utjecalo povećanje prihoda iz državnog proračuna za financiranje rashoda za zaposlene, te povećanje prihoda od programskih ugovora sukladno dostavljenim limit</w:t>
      </w:r>
      <w:r w:rsidR="002B60FE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>a od Sveučilišta u Rijeci. Također, više se planiralo  za sredstva EU pomoći za nove projekte i projekte u tijeku</w:t>
      </w:r>
      <w:r w:rsidR="002B60FE">
        <w:rPr>
          <w:rFonts w:ascii="Times New Roman" w:hAnsi="Times New Roman" w:cs="Times New Roman"/>
        </w:rPr>
        <w:t xml:space="preserve"> sukladno izvršenim doznakama sredstava</w:t>
      </w:r>
      <w:r>
        <w:rPr>
          <w:rFonts w:ascii="Times New Roman" w:hAnsi="Times New Roman" w:cs="Times New Roman"/>
        </w:rPr>
        <w:t xml:space="preserve">. </w:t>
      </w:r>
    </w:p>
    <w:p w14:paraId="31B6F31F" w14:textId="48ECEFB7" w:rsidR="00A6013C" w:rsidRPr="00AB2607" w:rsidRDefault="00A6013C" w:rsidP="00624C16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216184492"/>
      <w:r w:rsidRPr="00AB2607">
        <w:rPr>
          <w:rFonts w:ascii="Times New Roman" w:hAnsi="Times New Roman" w:cs="Times New Roman"/>
        </w:rPr>
        <w:t>U 202</w:t>
      </w:r>
      <w:r w:rsidR="008A21FD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godini planirano je ostvarenje</w:t>
      </w:r>
      <w:r w:rsidR="00A35E28">
        <w:rPr>
          <w:rFonts w:ascii="Times New Roman" w:hAnsi="Times New Roman" w:cs="Times New Roman"/>
        </w:rPr>
        <w:t xml:space="preserve"> prihoda u iznosu </w:t>
      </w:r>
      <w:r w:rsidRPr="00AB2607">
        <w:rPr>
          <w:rFonts w:ascii="Times New Roman" w:hAnsi="Times New Roman" w:cs="Times New Roman"/>
        </w:rPr>
        <w:t xml:space="preserve"> </w:t>
      </w:r>
      <w:r w:rsidR="000273F9">
        <w:rPr>
          <w:rFonts w:ascii="Times New Roman" w:hAnsi="Times New Roman" w:cs="Times New Roman"/>
        </w:rPr>
        <w:t>5.</w:t>
      </w:r>
      <w:r w:rsidR="003A1484">
        <w:rPr>
          <w:rFonts w:ascii="Times New Roman" w:hAnsi="Times New Roman" w:cs="Times New Roman"/>
        </w:rPr>
        <w:t>132.179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pći prihodi i primici,   </w:t>
      </w:r>
      <w:r w:rsidR="003A1484">
        <w:rPr>
          <w:rFonts w:ascii="Times New Roman" w:hAnsi="Times New Roman" w:cs="Times New Roman"/>
        </w:rPr>
        <w:t xml:space="preserve">652.642 </w:t>
      </w:r>
      <w:r w:rsidRPr="00AB2607">
        <w:rPr>
          <w:rFonts w:ascii="Times New Roman" w:hAnsi="Times New Roman" w:cs="Times New Roman"/>
        </w:rPr>
        <w:t xml:space="preserve"> EUR iz izvora vlastiti priho</w:t>
      </w:r>
      <w:r w:rsidR="00A35E28">
        <w:rPr>
          <w:rFonts w:ascii="Times New Roman" w:hAnsi="Times New Roman" w:cs="Times New Roman"/>
        </w:rPr>
        <w:t>di</w:t>
      </w:r>
      <w:r w:rsidRPr="00AB2607">
        <w:rPr>
          <w:rFonts w:ascii="Times New Roman" w:hAnsi="Times New Roman" w:cs="Times New Roman"/>
        </w:rPr>
        <w:t xml:space="preserve">, </w:t>
      </w:r>
      <w:r w:rsidR="003A1484">
        <w:rPr>
          <w:rFonts w:ascii="Times New Roman" w:hAnsi="Times New Roman" w:cs="Times New Roman"/>
        </w:rPr>
        <w:t>831.900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>stali prihod</w:t>
      </w:r>
      <w:r w:rsidR="00A35E28">
        <w:rPr>
          <w:rFonts w:ascii="Times New Roman" w:hAnsi="Times New Roman" w:cs="Times New Roman"/>
        </w:rPr>
        <w:t>i</w:t>
      </w:r>
      <w:r w:rsidRPr="00AB2607">
        <w:rPr>
          <w:rFonts w:ascii="Times New Roman" w:hAnsi="Times New Roman" w:cs="Times New Roman"/>
        </w:rPr>
        <w:t xml:space="preserve"> za posebne namjene, </w:t>
      </w:r>
      <w:r w:rsidR="003A1484">
        <w:rPr>
          <w:rFonts w:ascii="Times New Roman" w:hAnsi="Times New Roman" w:cs="Times New Roman"/>
        </w:rPr>
        <w:t>1.210.000</w:t>
      </w:r>
      <w:r w:rsidRPr="00AB2607">
        <w:rPr>
          <w:rFonts w:ascii="Times New Roman" w:hAnsi="Times New Roman" w:cs="Times New Roman"/>
        </w:rPr>
        <w:t xml:space="preserve"> EUR iz izvora</w:t>
      </w:r>
      <w:r w:rsidR="00A35E28">
        <w:rPr>
          <w:rFonts w:ascii="Times New Roman" w:hAnsi="Times New Roman" w:cs="Times New Roman"/>
        </w:rPr>
        <w:t xml:space="preserve"> p</w:t>
      </w:r>
      <w:r w:rsidRPr="00AB2607">
        <w:rPr>
          <w:rFonts w:ascii="Times New Roman" w:hAnsi="Times New Roman" w:cs="Times New Roman"/>
        </w:rPr>
        <w:t>omoći EU,</w:t>
      </w:r>
      <w:r w:rsidR="005F66CE" w:rsidRPr="00AB2607">
        <w:rPr>
          <w:rFonts w:ascii="Times New Roman" w:hAnsi="Times New Roman" w:cs="Times New Roman"/>
        </w:rPr>
        <w:t xml:space="preserve"> </w:t>
      </w:r>
      <w:r w:rsidR="000273F9">
        <w:rPr>
          <w:rFonts w:ascii="Times New Roman" w:hAnsi="Times New Roman" w:cs="Times New Roman"/>
        </w:rPr>
        <w:t>1</w:t>
      </w:r>
      <w:r w:rsidR="003A1484">
        <w:rPr>
          <w:rFonts w:ascii="Times New Roman" w:hAnsi="Times New Roman" w:cs="Times New Roman"/>
        </w:rPr>
        <w:t>40</w:t>
      </w:r>
      <w:r w:rsidR="000273F9">
        <w:rPr>
          <w:rFonts w:ascii="Times New Roman" w:hAnsi="Times New Roman" w:cs="Times New Roman"/>
        </w:rPr>
        <w:t>.000</w:t>
      </w:r>
      <w:r w:rsidR="008A21FD">
        <w:rPr>
          <w:rFonts w:ascii="Times New Roman" w:hAnsi="Times New Roman" w:cs="Times New Roman"/>
        </w:rPr>
        <w:t xml:space="preserve"> </w:t>
      </w:r>
      <w:r w:rsidRPr="00AB2607">
        <w:rPr>
          <w:rFonts w:ascii="Times New Roman" w:hAnsi="Times New Roman" w:cs="Times New Roman"/>
        </w:rPr>
        <w:t xml:space="preserve">EUR iz izvora </w:t>
      </w:r>
      <w:r w:rsidR="00A35E28"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stale pomoći i darovnice, </w:t>
      </w:r>
      <w:r w:rsidR="000273F9">
        <w:rPr>
          <w:rFonts w:ascii="Times New Roman" w:hAnsi="Times New Roman" w:cs="Times New Roman"/>
        </w:rPr>
        <w:t>85.927 EUR iz izvora mehanizma za oporavak i otpornost,</w:t>
      </w:r>
      <w:r w:rsidRPr="00AB2607">
        <w:rPr>
          <w:rFonts w:ascii="Times New Roman" w:hAnsi="Times New Roman" w:cs="Times New Roman"/>
        </w:rPr>
        <w:t xml:space="preserve"> </w:t>
      </w:r>
      <w:r w:rsidR="000273F9">
        <w:rPr>
          <w:rFonts w:ascii="Times New Roman" w:hAnsi="Times New Roman" w:cs="Times New Roman"/>
        </w:rPr>
        <w:t>130.000</w:t>
      </w:r>
      <w:r w:rsidRPr="00AB2607">
        <w:rPr>
          <w:rFonts w:ascii="Times New Roman" w:hAnsi="Times New Roman" w:cs="Times New Roman"/>
        </w:rPr>
        <w:t xml:space="preserve"> EUR iz izvora donacije i </w:t>
      </w:r>
      <w:r w:rsidR="000273F9">
        <w:rPr>
          <w:rFonts w:ascii="Times New Roman" w:hAnsi="Times New Roman" w:cs="Times New Roman"/>
        </w:rPr>
        <w:t>350</w:t>
      </w:r>
      <w:r w:rsidRPr="00AB2607">
        <w:rPr>
          <w:rFonts w:ascii="Times New Roman" w:hAnsi="Times New Roman" w:cs="Times New Roman"/>
        </w:rPr>
        <w:t xml:space="preserve"> EUR iz izvora </w:t>
      </w:r>
      <w:r w:rsidR="00A35E28">
        <w:rPr>
          <w:rFonts w:ascii="Times New Roman" w:hAnsi="Times New Roman" w:cs="Times New Roman"/>
        </w:rPr>
        <w:t>p</w:t>
      </w:r>
      <w:r w:rsidRPr="00AB2607">
        <w:rPr>
          <w:rFonts w:ascii="Times New Roman" w:hAnsi="Times New Roman" w:cs="Times New Roman"/>
        </w:rPr>
        <w:t>rodaj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ili zamjen</w:t>
      </w:r>
      <w:r w:rsidR="00A35E28"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nefinancijske imovine. </w:t>
      </w:r>
    </w:p>
    <w:bookmarkEnd w:id="0"/>
    <w:p w14:paraId="6628758F" w14:textId="727C71C0" w:rsidR="007B6A4C" w:rsidRPr="00AB2607" w:rsidRDefault="007B6A4C" w:rsidP="007B6A4C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 xml:space="preserve">Najvažnija skupina prihoda po visini planiranih iznosa su prihodi iz općeg izvora financiranja odnosno državnog proračuna za financiranje rashoda za zaposlene i materijalnih troškova iz sredstava programskih ugovora, ovaj izvor prihoda čini više od </w:t>
      </w:r>
      <w:r w:rsidR="0038508F">
        <w:rPr>
          <w:rFonts w:ascii="Times New Roman" w:hAnsi="Times New Roman" w:cs="Times New Roman"/>
        </w:rPr>
        <w:t>6</w:t>
      </w:r>
      <w:r w:rsidR="003A1484">
        <w:rPr>
          <w:rFonts w:ascii="Times New Roman" w:hAnsi="Times New Roman" w:cs="Times New Roman"/>
        </w:rPr>
        <w:t>2</w:t>
      </w:r>
      <w:r w:rsidR="0038508F">
        <w:rPr>
          <w:rFonts w:ascii="Times New Roman" w:hAnsi="Times New Roman" w:cs="Times New Roman"/>
        </w:rPr>
        <w:t>%</w:t>
      </w:r>
      <w:r w:rsidRPr="00AB2607">
        <w:rPr>
          <w:rFonts w:ascii="Times New Roman" w:hAnsi="Times New Roman" w:cs="Times New Roman"/>
        </w:rPr>
        <w:t xml:space="preserve">  ukupnih prihoda. </w:t>
      </w:r>
    </w:p>
    <w:p w14:paraId="3932DD2B" w14:textId="56586ED3" w:rsidR="00A64D16" w:rsidRPr="00AB2607" w:rsidRDefault="007B6A4C" w:rsidP="00A64D16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 xml:space="preserve">Sljedeća skupina značajnih prihoda su vlastiti prihodi ostvareni na tržištu  i prihodi za posebne namjene </w:t>
      </w:r>
      <w:r w:rsidR="00A64D16" w:rsidRPr="00AB2607">
        <w:rPr>
          <w:rFonts w:ascii="Times New Roman" w:hAnsi="Times New Roman" w:cs="Times New Roman"/>
        </w:rPr>
        <w:t xml:space="preserve">čiji je </w:t>
      </w:r>
      <w:r w:rsidR="00A35E28">
        <w:rPr>
          <w:rFonts w:ascii="Times New Roman" w:hAnsi="Times New Roman" w:cs="Times New Roman"/>
        </w:rPr>
        <w:t xml:space="preserve">ukupan </w:t>
      </w:r>
      <w:r w:rsidR="00A64D16" w:rsidRPr="00AB2607">
        <w:rPr>
          <w:rFonts w:ascii="Times New Roman" w:hAnsi="Times New Roman" w:cs="Times New Roman"/>
        </w:rPr>
        <w:t xml:space="preserve">udio </w:t>
      </w:r>
      <w:r w:rsidR="003A1484">
        <w:rPr>
          <w:rFonts w:ascii="Times New Roman" w:hAnsi="Times New Roman" w:cs="Times New Roman"/>
        </w:rPr>
        <w:t>20</w:t>
      </w:r>
      <w:r w:rsidR="008A21FD">
        <w:rPr>
          <w:rFonts w:ascii="Times New Roman" w:hAnsi="Times New Roman" w:cs="Times New Roman"/>
        </w:rPr>
        <w:t>%</w:t>
      </w:r>
      <w:r w:rsidR="00A64D16" w:rsidRPr="00AB2607">
        <w:rPr>
          <w:rFonts w:ascii="Times New Roman" w:hAnsi="Times New Roman" w:cs="Times New Roman"/>
        </w:rPr>
        <w:t xml:space="preserve"> u ukupnim prihodima. </w:t>
      </w:r>
      <w:r w:rsidRPr="00AB2607">
        <w:rPr>
          <w:rFonts w:ascii="Times New Roman" w:hAnsi="Times New Roman" w:cs="Times New Roman"/>
        </w:rPr>
        <w:t xml:space="preserve"> </w:t>
      </w:r>
    </w:p>
    <w:p w14:paraId="6F5B9BE0" w14:textId="77777777" w:rsidR="00A6013C" w:rsidRPr="00AB2607" w:rsidRDefault="00A6013C" w:rsidP="00A64D16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2877D7BD" w14:textId="77777777" w:rsidR="00F471E7" w:rsidRPr="00AB260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t>RASHODI I IZDACI</w:t>
      </w:r>
    </w:p>
    <w:p w14:paraId="189C2EC7" w14:textId="177AC58E" w:rsidR="00DB145C" w:rsidRPr="00AB2607" w:rsidRDefault="00DB145C" w:rsidP="009074C0">
      <w:pPr>
        <w:tabs>
          <w:tab w:val="left" w:pos="1308"/>
        </w:tabs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Ukupni rashodi za 202</w:t>
      </w:r>
      <w:r w:rsidR="008A21FD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godinu</w:t>
      </w:r>
      <w:r w:rsidR="0038508F">
        <w:rPr>
          <w:rFonts w:ascii="Times New Roman" w:hAnsi="Times New Roman" w:cs="Times New Roman"/>
        </w:rPr>
        <w:t xml:space="preserve"> izmjenama i dopunama financijskog plana</w:t>
      </w:r>
      <w:r w:rsidRPr="00AB2607">
        <w:rPr>
          <w:rFonts w:ascii="Times New Roman" w:hAnsi="Times New Roman" w:cs="Times New Roman"/>
        </w:rPr>
        <w:t xml:space="preserve"> planirani su u iznosu</w:t>
      </w:r>
      <w:r w:rsidR="005B5F53" w:rsidRPr="00AB2607">
        <w:rPr>
          <w:rFonts w:ascii="Times New Roman" w:hAnsi="Times New Roman" w:cs="Times New Roman"/>
        </w:rPr>
        <w:t xml:space="preserve"> od</w:t>
      </w:r>
      <w:r w:rsidRPr="00AB2607">
        <w:rPr>
          <w:rFonts w:ascii="Times New Roman" w:hAnsi="Times New Roman" w:cs="Times New Roman"/>
        </w:rPr>
        <w:t xml:space="preserve"> </w:t>
      </w:r>
      <w:r w:rsidR="0038508F">
        <w:rPr>
          <w:rFonts w:ascii="Times New Roman" w:hAnsi="Times New Roman" w:cs="Times New Roman"/>
        </w:rPr>
        <w:t>7.</w:t>
      </w:r>
      <w:r w:rsidR="003A1484">
        <w:rPr>
          <w:rFonts w:ascii="Times New Roman" w:hAnsi="Times New Roman" w:cs="Times New Roman"/>
        </w:rPr>
        <w:t>9</w:t>
      </w:r>
      <w:r w:rsidR="00171EE0">
        <w:rPr>
          <w:rFonts w:ascii="Times New Roman" w:hAnsi="Times New Roman" w:cs="Times New Roman"/>
        </w:rPr>
        <w:t>79.843</w:t>
      </w:r>
      <w:r w:rsidR="0038508F">
        <w:rPr>
          <w:rFonts w:ascii="Times New Roman" w:hAnsi="Times New Roman" w:cs="Times New Roman"/>
        </w:rPr>
        <w:t xml:space="preserve"> EUR što je 1</w:t>
      </w:r>
      <w:r w:rsidR="003A1484">
        <w:rPr>
          <w:rFonts w:ascii="Times New Roman" w:hAnsi="Times New Roman" w:cs="Times New Roman"/>
        </w:rPr>
        <w:t>6</w:t>
      </w:r>
      <w:r w:rsidR="0038508F">
        <w:rPr>
          <w:rFonts w:ascii="Times New Roman" w:hAnsi="Times New Roman" w:cs="Times New Roman"/>
        </w:rPr>
        <w:t>,</w:t>
      </w:r>
      <w:r w:rsidR="003A1484">
        <w:rPr>
          <w:rFonts w:ascii="Times New Roman" w:hAnsi="Times New Roman" w:cs="Times New Roman"/>
        </w:rPr>
        <w:t>01</w:t>
      </w:r>
      <w:r w:rsidR="0038508F">
        <w:rPr>
          <w:rFonts w:ascii="Times New Roman" w:hAnsi="Times New Roman" w:cs="Times New Roman"/>
        </w:rPr>
        <w:t>% više u odnosu na izvorni plan</w:t>
      </w:r>
      <w:r w:rsidRPr="00AB2607">
        <w:rPr>
          <w:rFonts w:ascii="Times New Roman" w:hAnsi="Times New Roman" w:cs="Times New Roman"/>
        </w:rPr>
        <w:t>.</w:t>
      </w:r>
    </w:p>
    <w:p w14:paraId="3B0DB075" w14:textId="3E6243E1" w:rsidR="00DB145C" w:rsidRDefault="00DB145C" w:rsidP="00DB145C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Najveći rashodi odnose na rashode za zaposlene koji u 202</w:t>
      </w:r>
      <w:r w:rsidR="008A21FD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godini iznose </w:t>
      </w:r>
      <w:r w:rsidR="008A21FD">
        <w:rPr>
          <w:rFonts w:ascii="Times New Roman" w:hAnsi="Times New Roman" w:cs="Times New Roman"/>
        </w:rPr>
        <w:t>5.</w:t>
      </w:r>
      <w:r w:rsidR="003A1484">
        <w:rPr>
          <w:rFonts w:ascii="Times New Roman" w:hAnsi="Times New Roman" w:cs="Times New Roman"/>
        </w:rPr>
        <w:t>603.904</w:t>
      </w:r>
      <w:r w:rsidRPr="00AB2607">
        <w:rPr>
          <w:rFonts w:ascii="Times New Roman" w:hAnsi="Times New Roman" w:cs="Times New Roman"/>
        </w:rPr>
        <w:t xml:space="preserve"> EUR, te </w:t>
      </w:r>
      <w:r w:rsidR="00425E43" w:rsidRPr="00AB2607">
        <w:rPr>
          <w:rFonts w:ascii="Times New Roman" w:hAnsi="Times New Roman" w:cs="Times New Roman"/>
        </w:rPr>
        <w:t>materijalni rashodi</w:t>
      </w:r>
      <w:r w:rsidRPr="00AB2607">
        <w:rPr>
          <w:rFonts w:ascii="Times New Roman" w:hAnsi="Times New Roman" w:cs="Times New Roman"/>
        </w:rPr>
        <w:t xml:space="preserve"> u iznosu </w:t>
      </w:r>
      <w:r w:rsidR="005B5F53" w:rsidRPr="00AB2607">
        <w:rPr>
          <w:rFonts w:ascii="Times New Roman" w:hAnsi="Times New Roman" w:cs="Times New Roman"/>
        </w:rPr>
        <w:t xml:space="preserve">od </w:t>
      </w:r>
      <w:r w:rsidR="00596C4B" w:rsidRPr="00AB2607">
        <w:rPr>
          <w:rFonts w:ascii="Times New Roman" w:hAnsi="Times New Roman" w:cs="Times New Roman"/>
        </w:rPr>
        <w:t>1.</w:t>
      </w:r>
      <w:r w:rsidR="003A1484">
        <w:rPr>
          <w:rFonts w:ascii="Times New Roman" w:hAnsi="Times New Roman" w:cs="Times New Roman"/>
        </w:rPr>
        <w:t>56</w:t>
      </w:r>
      <w:r w:rsidR="00171EE0">
        <w:rPr>
          <w:rFonts w:ascii="Times New Roman" w:hAnsi="Times New Roman" w:cs="Times New Roman"/>
        </w:rPr>
        <w:t xml:space="preserve">6.946 </w:t>
      </w:r>
      <w:r w:rsidR="009074C0" w:rsidRPr="00AB2607">
        <w:rPr>
          <w:rFonts w:ascii="Times New Roman" w:hAnsi="Times New Roman" w:cs="Times New Roman"/>
        </w:rPr>
        <w:t xml:space="preserve">EUR. </w:t>
      </w:r>
    </w:p>
    <w:p w14:paraId="6FA3FDCF" w14:textId="2045FCF2" w:rsidR="00171EE0" w:rsidRPr="00AB2607" w:rsidRDefault="00171EE0" w:rsidP="00171EE0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U 202</w:t>
      </w:r>
      <w:r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godini planirano je </w:t>
      </w:r>
      <w:r>
        <w:rPr>
          <w:rFonts w:ascii="Times New Roman" w:hAnsi="Times New Roman" w:cs="Times New Roman"/>
        </w:rPr>
        <w:t xml:space="preserve">izvršenje rashoda u iznosu </w:t>
      </w:r>
      <w:r w:rsidRPr="00AB2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5.132.179</w:t>
      </w:r>
      <w:r w:rsidRPr="00AB2607">
        <w:rPr>
          <w:rFonts w:ascii="Times New Roman" w:hAnsi="Times New Roman" w:cs="Times New Roman"/>
        </w:rPr>
        <w:t xml:space="preserve"> EUR iz izvora </w:t>
      </w:r>
      <w:r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pći prihodi i primici,   </w:t>
      </w:r>
      <w:r>
        <w:rPr>
          <w:rFonts w:ascii="Times New Roman" w:hAnsi="Times New Roman" w:cs="Times New Roman"/>
        </w:rPr>
        <w:t xml:space="preserve">765.817 </w:t>
      </w:r>
      <w:r w:rsidRPr="00AB2607">
        <w:rPr>
          <w:rFonts w:ascii="Times New Roman" w:hAnsi="Times New Roman" w:cs="Times New Roman"/>
        </w:rPr>
        <w:t xml:space="preserve"> EUR iz izvora vlastiti priho</w:t>
      </w:r>
      <w:r>
        <w:rPr>
          <w:rFonts w:ascii="Times New Roman" w:hAnsi="Times New Roman" w:cs="Times New Roman"/>
        </w:rPr>
        <w:t>di</w:t>
      </w:r>
      <w:r w:rsidRPr="00AB26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805.669</w:t>
      </w:r>
      <w:r w:rsidRPr="00AB2607">
        <w:rPr>
          <w:rFonts w:ascii="Times New Roman" w:hAnsi="Times New Roman" w:cs="Times New Roman"/>
        </w:rPr>
        <w:t xml:space="preserve"> EUR iz izvora </w:t>
      </w:r>
      <w:r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>stali prihod</w:t>
      </w:r>
      <w:r>
        <w:rPr>
          <w:rFonts w:ascii="Times New Roman" w:hAnsi="Times New Roman" w:cs="Times New Roman"/>
        </w:rPr>
        <w:t>i</w:t>
      </w:r>
      <w:r w:rsidRPr="00AB2607">
        <w:rPr>
          <w:rFonts w:ascii="Times New Roman" w:hAnsi="Times New Roman" w:cs="Times New Roman"/>
        </w:rPr>
        <w:t xml:space="preserve"> za posebne namjene, </w:t>
      </w:r>
      <w:r>
        <w:rPr>
          <w:rFonts w:ascii="Times New Roman" w:hAnsi="Times New Roman" w:cs="Times New Roman"/>
        </w:rPr>
        <w:t>904.632</w:t>
      </w:r>
      <w:r w:rsidRPr="00AB2607">
        <w:rPr>
          <w:rFonts w:ascii="Times New Roman" w:hAnsi="Times New Roman" w:cs="Times New Roman"/>
        </w:rPr>
        <w:t xml:space="preserve"> EUR iz izvora</w:t>
      </w:r>
      <w:r>
        <w:rPr>
          <w:rFonts w:ascii="Times New Roman" w:hAnsi="Times New Roman" w:cs="Times New Roman"/>
        </w:rPr>
        <w:t xml:space="preserve"> p</w:t>
      </w:r>
      <w:r w:rsidRPr="00AB2607">
        <w:rPr>
          <w:rFonts w:ascii="Times New Roman" w:hAnsi="Times New Roman" w:cs="Times New Roman"/>
        </w:rPr>
        <w:t xml:space="preserve">omoći EU, </w:t>
      </w:r>
      <w:r>
        <w:rPr>
          <w:rFonts w:ascii="Times New Roman" w:hAnsi="Times New Roman" w:cs="Times New Roman"/>
        </w:rPr>
        <w:t xml:space="preserve">120.118 </w:t>
      </w:r>
      <w:r w:rsidRPr="00AB2607">
        <w:rPr>
          <w:rFonts w:ascii="Times New Roman" w:hAnsi="Times New Roman" w:cs="Times New Roman"/>
        </w:rPr>
        <w:t xml:space="preserve">EUR iz izvora </w:t>
      </w:r>
      <w:r>
        <w:rPr>
          <w:rFonts w:ascii="Times New Roman" w:hAnsi="Times New Roman" w:cs="Times New Roman"/>
        </w:rPr>
        <w:t>o</w:t>
      </w:r>
      <w:r w:rsidRPr="00AB2607">
        <w:rPr>
          <w:rFonts w:ascii="Times New Roman" w:hAnsi="Times New Roman" w:cs="Times New Roman"/>
        </w:rPr>
        <w:t xml:space="preserve">stale pomoći i darovnice, </w:t>
      </w:r>
      <w:r>
        <w:rPr>
          <w:rFonts w:ascii="Times New Roman" w:hAnsi="Times New Roman" w:cs="Times New Roman"/>
        </w:rPr>
        <w:t>65.950 EUR iz izvora mehanizma za oporavak i otpornost,</w:t>
      </w:r>
      <w:r w:rsidRPr="00AB2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185.128</w:t>
      </w:r>
      <w:r w:rsidRPr="00AB2607">
        <w:rPr>
          <w:rFonts w:ascii="Times New Roman" w:hAnsi="Times New Roman" w:cs="Times New Roman"/>
        </w:rPr>
        <w:t xml:space="preserve"> EUR iz izvora donacije i </w:t>
      </w:r>
      <w:r>
        <w:rPr>
          <w:rFonts w:ascii="Times New Roman" w:hAnsi="Times New Roman" w:cs="Times New Roman"/>
        </w:rPr>
        <w:t>350</w:t>
      </w:r>
      <w:r w:rsidRPr="00AB2607">
        <w:rPr>
          <w:rFonts w:ascii="Times New Roman" w:hAnsi="Times New Roman" w:cs="Times New Roman"/>
        </w:rPr>
        <w:t xml:space="preserve"> EUR iz izvora </w:t>
      </w:r>
      <w:r>
        <w:rPr>
          <w:rFonts w:ascii="Times New Roman" w:hAnsi="Times New Roman" w:cs="Times New Roman"/>
        </w:rPr>
        <w:t>p</w:t>
      </w:r>
      <w:r w:rsidRPr="00AB2607">
        <w:rPr>
          <w:rFonts w:ascii="Times New Roman" w:hAnsi="Times New Roman" w:cs="Times New Roman"/>
        </w:rPr>
        <w:t>rodaj</w:t>
      </w:r>
      <w:r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ili zamjen</w:t>
      </w:r>
      <w:r>
        <w:rPr>
          <w:rFonts w:ascii="Times New Roman" w:hAnsi="Times New Roman" w:cs="Times New Roman"/>
        </w:rPr>
        <w:t>a</w:t>
      </w:r>
      <w:r w:rsidRPr="00AB2607">
        <w:rPr>
          <w:rFonts w:ascii="Times New Roman" w:hAnsi="Times New Roman" w:cs="Times New Roman"/>
        </w:rPr>
        <w:t xml:space="preserve"> nefinancijske imovine. </w:t>
      </w:r>
    </w:p>
    <w:p w14:paraId="2FB9E761" w14:textId="77777777" w:rsidR="00484CEE" w:rsidRPr="00AB2607" w:rsidRDefault="00484CEE" w:rsidP="00DB145C">
      <w:pPr>
        <w:spacing w:line="240" w:lineRule="auto"/>
        <w:jc w:val="both"/>
        <w:rPr>
          <w:rFonts w:ascii="Times New Roman" w:hAnsi="Times New Roman" w:cs="Times New Roman"/>
        </w:rPr>
      </w:pPr>
    </w:p>
    <w:p w14:paraId="09EE50C7" w14:textId="77777777" w:rsidR="00F471E7" w:rsidRPr="00AB260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t>PRIJENOS SREDSTAVA IZ PRETHODNE I U SLJEDEĆU GODINU</w:t>
      </w:r>
    </w:p>
    <w:p w14:paraId="169DA249" w14:textId="2288B1BB" w:rsidR="00BA2549" w:rsidRPr="00AB2607" w:rsidRDefault="00BA2549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Neutrošena sredstva iz vlastitih i namjenskih izvora financiranja iz prethodne godine prenose se u sljedeću. Fakultet je predvidio da će na kraju 202</w:t>
      </w:r>
      <w:r w:rsidR="0038508F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godine ostati neutrošenih </w:t>
      </w:r>
      <w:r w:rsidR="003A1484">
        <w:rPr>
          <w:rFonts w:ascii="Times New Roman" w:hAnsi="Times New Roman" w:cs="Times New Roman"/>
        </w:rPr>
        <w:t>1.098</w:t>
      </w:r>
      <w:r w:rsidR="00171EE0">
        <w:rPr>
          <w:rFonts w:ascii="Times New Roman" w:hAnsi="Times New Roman" w:cs="Times New Roman"/>
        </w:rPr>
        <w:t>.960</w:t>
      </w:r>
      <w:r w:rsidRPr="00AB2607">
        <w:rPr>
          <w:rFonts w:ascii="Times New Roman" w:hAnsi="Times New Roman" w:cs="Times New Roman"/>
        </w:rPr>
        <w:t xml:space="preserve"> EUR koji se prenose u 202</w:t>
      </w:r>
      <w:r w:rsidR="0038508F">
        <w:rPr>
          <w:rFonts w:ascii="Times New Roman" w:hAnsi="Times New Roman" w:cs="Times New Roman"/>
        </w:rPr>
        <w:t>6</w:t>
      </w:r>
      <w:r w:rsidRPr="00AB2607">
        <w:rPr>
          <w:rFonts w:ascii="Times New Roman" w:hAnsi="Times New Roman" w:cs="Times New Roman"/>
        </w:rPr>
        <w:t xml:space="preserve">. godinu. </w:t>
      </w:r>
    </w:p>
    <w:p w14:paraId="386782A4" w14:textId="77777777" w:rsidR="00BA2549" w:rsidRPr="00AB2607" w:rsidRDefault="00BA2549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S obzirom na planirane rashode i izdatke u razdoblju 202</w:t>
      </w:r>
      <w:r w:rsidR="00484CEE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– 202</w:t>
      </w:r>
      <w:r w:rsidR="00484CEE">
        <w:rPr>
          <w:rFonts w:ascii="Times New Roman" w:hAnsi="Times New Roman" w:cs="Times New Roman"/>
        </w:rPr>
        <w:t>7</w:t>
      </w:r>
      <w:r w:rsidRPr="00AB2607">
        <w:rPr>
          <w:rFonts w:ascii="Times New Roman" w:hAnsi="Times New Roman" w:cs="Times New Roman"/>
        </w:rPr>
        <w:t xml:space="preserve">. , Fakultet neće utrošiti sva sredstva koja će ostvariti u tom razdoblju u okviru vlastiti i namjenskih izvora </w:t>
      </w:r>
      <w:r w:rsidR="00930827" w:rsidRPr="00AB2607">
        <w:rPr>
          <w:rFonts w:ascii="Times New Roman" w:hAnsi="Times New Roman" w:cs="Times New Roman"/>
        </w:rPr>
        <w:t>financiranja</w:t>
      </w:r>
      <w:r w:rsidRPr="00AB2607">
        <w:rPr>
          <w:rFonts w:ascii="Times New Roman" w:hAnsi="Times New Roman" w:cs="Times New Roman"/>
        </w:rPr>
        <w:t>, stoga je planom za 202</w:t>
      </w:r>
      <w:r w:rsidR="00484CEE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godinu i </w:t>
      </w:r>
      <w:r w:rsidR="00930827" w:rsidRPr="00AB2607">
        <w:rPr>
          <w:rFonts w:ascii="Times New Roman" w:hAnsi="Times New Roman" w:cs="Times New Roman"/>
        </w:rPr>
        <w:t>projekcijama</w:t>
      </w:r>
      <w:r w:rsidRPr="00AB2607">
        <w:rPr>
          <w:rFonts w:ascii="Times New Roman" w:hAnsi="Times New Roman" w:cs="Times New Roman"/>
        </w:rPr>
        <w:t xml:space="preserve"> za 202</w:t>
      </w:r>
      <w:r w:rsidR="00484CEE">
        <w:rPr>
          <w:rFonts w:ascii="Times New Roman" w:hAnsi="Times New Roman" w:cs="Times New Roman"/>
        </w:rPr>
        <w:t>6</w:t>
      </w:r>
      <w:r w:rsidRPr="00AB2607">
        <w:rPr>
          <w:rFonts w:ascii="Times New Roman" w:hAnsi="Times New Roman" w:cs="Times New Roman"/>
        </w:rPr>
        <w:t>. i 202</w:t>
      </w:r>
      <w:r w:rsidR="00484CEE">
        <w:rPr>
          <w:rFonts w:ascii="Times New Roman" w:hAnsi="Times New Roman" w:cs="Times New Roman"/>
        </w:rPr>
        <w:t>7</w:t>
      </w:r>
      <w:r w:rsidR="00930827" w:rsidRPr="00AB2607">
        <w:rPr>
          <w:rFonts w:ascii="Times New Roman" w:hAnsi="Times New Roman" w:cs="Times New Roman"/>
        </w:rPr>
        <w:t>. godinu predviđen prijenos neutrošenih sredstava u sljedeće godine.</w:t>
      </w:r>
      <w:r w:rsidR="00484CEE">
        <w:rPr>
          <w:rFonts w:ascii="Times New Roman" w:hAnsi="Times New Roman" w:cs="Times New Roman"/>
        </w:rPr>
        <w:t xml:space="preserve"> </w:t>
      </w:r>
    </w:p>
    <w:p w14:paraId="760BA94A" w14:textId="6D16577E" w:rsidR="00DB145C" w:rsidRDefault="00DB145C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lastRenderedPageBreak/>
        <w:t>Prijenos sredstava iz prethodne u sljedeću godinu</w:t>
      </w:r>
      <w:r w:rsidR="00B4366D" w:rsidRPr="00AB2607">
        <w:rPr>
          <w:rFonts w:ascii="Times New Roman" w:hAnsi="Times New Roman" w:cs="Times New Roman"/>
        </w:rPr>
        <w:t>, po izvorima</w:t>
      </w:r>
      <w:r w:rsidRPr="00AB2607">
        <w:rPr>
          <w:rFonts w:ascii="Times New Roman" w:hAnsi="Times New Roman" w:cs="Times New Roman"/>
        </w:rPr>
        <w:t xml:space="preserve"> u izgleda kako slijedi:</w:t>
      </w:r>
    </w:p>
    <w:p w14:paraId="0D275B90" w14:textId="77777777" w:rsidR="00D17BF7" w:rsidRDefault="00D17BF7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p w14:paraId="2B6B637E" w14:textId="77777777" w:rsidR="00D17BF7" w:rsidRPr="00AB2607" w:rsidRDefault="00D17BF7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1424"/>
        <w:gridCol w:w="639"/>
        <w:gridCol w:w="1050"/>
        <w:gridCol w:w="988"/>
        <w:gridCol w:w="997"/>
        <w:gridCol w:w="1001"/>
        <w:gridCol w:w="965"/>
        <w:gridCol w:w="847"/>
        <w:gridCol w:w="1151"/>
      </w:tblGrid>
      <w:tr w:rsidR="00D17BF7" w:rsidRPr="00AB2607" w14:paraId="12DACDA2" w14:textId="0CE24925" w:rsidTr="003A1484">
        <w:trPr>
          <w:trHeight w:val="253"/>
          <w:jc w:val="center"/>
        </w:trPr>
        <w:tc>
          <w:tcPr>
            <w:tcW w:w="1424" w:type="dxa"/>
            <w:vMerge w:val="restart"/>
            <w:vAlign w:val="center"/>
          </w:tcPr>
          <w:p w14:paraId="386A6250" w14:textId="77777777" w:rsidR="00D17BF7" w:rsidRPr="00484CEE" w:rsidRDefault="00D17BF7" w:rsidP="00624C16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181874057"/>
          </w:p>
        </w:tc>
        <w:tc>
          <w:tcPr>
            <w:tcW w:w="7638" w:type="dxa"/>
            <w:gridSpan w:val="8"/>
          </w:tcPr>
          <w:p w14:paraId="601CBBE6" w14:textId="77777777" w:rsidR="00D17BF7" w:rsidRPr="00484CEE" w:rsidRDefault="00D17BF7" w:rsidP="00624C1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7BF7" w:rsidRPr="00AB2607" w14:paraId="54DC4AAD" w14:textId="77777777" w:rsidTr="004C1038">
        <w:trPr>
          <w:jc w:val="center"/>
        </w:trPr>
        <w:tc>
          <w:tcPr>
            <w:tcW w:w="1424" w:type="dxa"/>
            <w:vMerge/>
          </w:tcPr>
          <w:p w14:paraId="6F0F7C2B" w14:textId="77777777" w:rsidR="00D17BF7" w:rsidRPr="00AB2607" w:rsidRDefault="00D17BF7" w:rsidP="00624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401B5FED" w14:textId="77777777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0" w:type="dxa"/>
          </w:tcPr>
          <w:p w14:paraId="753BECEC" w14:textId="77777777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8" w:type="dxa"/>
          </w:tcPr>
          <w:p w14:paraId="16FD142C" w14:textId="77777777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7" w:type="dxa"/>
          </w:tcPr>
          <w:p w14:paraId="05FB87F9" w14:textId="77777777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01" w:type="dxa"/>
          </w:tcPr>
          <w:p w14:paraId="1D9C0079" w14:textId="77777777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65" w:type="dxa"/>
          </w:tcPr>
          <w:p w14:paraId="34F59D16" w14:textId="61F80F8D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847" w:type="dxa"/>
          </w:tcPr>
          <w:p w14:paraId="789DE4A0" w14:textId="49614DE1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51" w:type="dxa"/>
          </w:tcPr>
          <w:p w14:paraId="5C58C722" w14:textId="77777777" w:rsidR="00D17BF7" w:rsidRPr="00AB2607" w:rsidRDefault="00D17BF7" w:rsidP="0041694B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Ukupno</w:t>
            </w:r>
          </w:p>
        </w:tc>
      </w:tr>
      <w:tr w:rsidR="00D17BF7" w:rsidRPr="00AB2607" w14:paraId="25435BFD" w14:textId="77777777" w:rsidTr="004C1038">
        <w:trPr>
          <w:jc w:val="center"/>
        </w:trPr>
        <w:tc>
          <w:tcPr>
            <w:tcW w:w="1424" w:type="dxa"/>
          </w:tcPr>
          <w:p w14:paraId="2229BB32" w14:textId="77777777" w:rsidR="00D17BF7" w:rsidRPr="00AB2607" w:rsidRDefault="00D17BF7" w:rsidP="00057E25">
            <w:pPr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Donos</w:t>
            </w:r>
          </w:p>
        </w:tc>
        <w:tc>
          <w:tcPr>
            <w:tcW w:w="639" w:type="dxa"/>
          </w:tcPr>
          <w:p w14:paraId="35FF39AB" w14:textId="1146F2E1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B541A0F" w14:textId="19096316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231.605</w:t>
            </w:r>
          </w:p>
        </w:tc>
        <w:tc>
          <w:tcPr>
            <w:tcW w:w="988" w:type="dxa"/>
          </w:tcPr>
          <w:p w14:paraId="04786920" w14:textId="71539F69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76.676</w:t>
            </w:r>
          </w:p>
        </w:tc>
        <w:tc>
          <w:tcPr>
            <w:tcW w:w="997" w:type="dxa"/>
          </w:tcPr>
          <w:p w14:paraId="1A65A288" w14:textId="6FFCEDE1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422.346</w:t>
            </w:r>
          </w:p>
        </w:tc>
        <w:tc>
          <w:tcPr>
            <w:tcW w:w="1001" w:type="dxa"/>
          </w:tcPr>
          <w:p w14:paraId="4818EDD5" w14:textId="4A08D4B5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105.649</w:t>
            </w:r>
          </w:p>
        </w:tc>
        <w:tc>
          <w:tcPr>
            <w:tcW w:w="965" w:type="dxa"/>
          </w:tcPr>
          <w:p w14:paraId="6049CA12" w14:textId="77777777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76892BD9" w14:textId="4D98217E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59.529</w:t>
            </w:r>
          </w:p>
        </w:tc>
        <w:tc>
          <w:tcPr>
            <w:tcW w:w="1151" w:type="dxa"/>
          </w:tcPr>
          <w:p w14:paraId="07641341" w14:textId="2DC466BE" w:rsidR="00D17BF7" w:rsidRPr="00D17BF7" w:rsidRDefault="003A1484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895.805</w:t>
            </w:r>
          </w:p>
        </w:tc>
      </w:tr>
      <w:tr w:rsidR="00D17BF7" w:rsidRPr="00AB2607" w14:paraId="46F65597" w14:textId="77777777" w:rsidTr="004C1038">
        <w:trPr>
          <w:jc w:val="center"/>
        </w:trPr>
        <w:tc>
          <w:tcPr>
            <w:tcW w:w="1424" w:type="dxa"/>
          </w:tcPr>
          <w:p w14:paraId="242CB54E" w14:textId="77777777" w:rsidR="00D17BF7" w:rsidRPr="00AB2607" w:rsidRDefault="00D17BF7" w:rsidP="0041694B">
            <w:pPr>
              <w:rPr>
                <w:rFonts w:ascii="Times New Roman" w:hAnsi="Times New Roman" w:cs="Times New Roman"/>
              </w:rPr>
            </w:pPr>
            <w:bookmarkStart w:id="2" w:name="_Hlk121396918"/>
            <w:r w:rsidRPr="00AB2607">
              <w:rPr>
                <w:rFonts w:ascii="Times New Roman" w:hAnsi="Times New Roman" w:cs="Times New Roman"/>
              </w:rPr>
              <w:t>Odnos</w:t>
            </w:r>
          </w:p>
        </w:tc>
        <w:tc>
          <w:tcPr>
            <w:tcW w:w="639" w:type="dxa"/>
          </w:tcPr>
          <w:p w14:paraId="6234343F" w14:textId="77777777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7C53699" w14:textId="0EFB11D3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="00171E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71EE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88" w:type="dxa"/>
          </w:tcPr>
          <w:p w14:paraId="33CC39AA" w14:textId="453F93E0" w:rsidR="00D17BF7" w:rsidRPr="00D17BF7" w:rsidRDefault="00D17BF7" w:rsidP="00415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1484">
              <w:rPr>
                <w:rFonts w:ascii="Times New Roman" w:hAnsi="Times New Roman" w:cs="Times New Roman"/>
                <w:sz w:val="20"/>
                <w:szCs w:val="20"/>
              </w:rPr>
              <w:t>102.907</w:t>
            </w:r>
          </w:p>
        </w:tc>
        <w:tc>
          <w:tcPr>
            <w:tcW w:w="997" w:type="dxa"/>
          </w:tcPr>
          <w:p w14:paraId="3CCCFD6F" w14:textId="567F3081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1484">
              <w:rPr>
                <w:rFonts w:ascii="Times New Roman" w:hAnsi="Times New Roman" w:cs="Times New Roman"/>
                <w:sz w:val="20"/>
                <w:szCs w:val="20"/>
              </w:rPr>
              <w:t>727.714</w:t>
            </w:r>
          </w:p>
        </w:tc>
        <w:tc>
          <w:tcPr>
            <w:tcW w:w="1001" w:type="dxa"/>
          </w:tcPr>
          <w:p w14:paraId="1F235A87" w14:textId="6A12E590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1484">
              <w:rPr>
                <w:rFonts w:ascii="Times New Roman" w:hAnsi="Times New Roman" w:cs="Times New Roman"/>
                <w:sz w:val="20"/>
                <w:szCs w:val="20"/>
              </w:rPr>
              <w:t>125.531</w:t>
            </w:r>
          </w:p>
        </w:tc>
        <w:tc>
          <w:tcPr>
            <w:tcW w:w="965" w:type="dxa"/>
          </w:tcPr>
          <w:p w14:paraId="093BC9AC" w14:textId="1CD21A92" w:rsidR="00D17BF7" w:rsidRPr="00D17BF7" w:rsidRDefault="00D17BF7" w:rsidP="00D1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1484">
              <w:rPr>
                <w:rFonts w:ascii="Times New Roman" w:hAnsi="Times New Roman" w:cs="Times New Roman"/>
                <w:sz w:val="20"/>
                <w:szCs w:val="20"/>
              </w:rPr>
              <w:t>19.977</w:t>
            </w:r>
          </w:p>
        </w:tc>
        <w:tc>
          <w:tcPr>
            <w:tcW w:w="847" w:type="dxa"/>
          </w:tcPr>
          <w:p w14:paraId="0B964061" w14:textId="09D9F294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-4.401</w:t>
            </w:r>
          </w:p>
        </w:tc>
        <w:tc>
          <w:tcPr>
            <w:tcW w:w="1151" w:type="dxa"/>
          </w:tcPr>
          <w:p w14:paraId="1E3088A1" w14:textId="7C8127E0" w:rsidR="00D17BF7" w:rsidRPr="00D17BF7" w:rsidRDefault="00D17BF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1484">
              <w:rPr>
                <w:rFonts w:ascii="Times New Roman" w:hAnsi="Times New Roman" w:cs="Times New Roman"/>
                <w:sz w:val="20"/>
                <w:szCs w:val="20"/>
              </w:rPr>
              <w:t>1.098.</w:t>
            </w:r>
            <w:r w:rsidR="00171EE0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</w:tr>
      <w:bookmarkEnd w:id="1"/>
      <w:bookmarkEnd w:id="2"/>
    </w:tbl>
    <w:p w14:paraId="733E582C" w14:textId="77777777" w:rsidR="00DB145C" w:rsidRPr="00AB2607" w:rsidRDefault="00DB145C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p w14:paraId="4B66BF9B" w14:textId="77777777" w:rsidR="000732E4" w:rsidRDefault="000732E4" w:rsidP="00624C16">
      <w:pPr>
        <w:spacing w:line="240" w:lineRule="auto"/>
        <w:jc w:val="both"/>
        <w:rPr>
          <w:rFonts w:ascii="Times New Roman" w:hAnsi="Times New Roman" w:cs="Times New Roman"/>
        </w:rPr>
      </w:pPr>
    </w:p>
    <w:p w14:paraId="3FD16ED5" w14:textId="77777777" w:rsidR="00186B7B" w:rsidRPr="00AB2607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2607">
        <w:rPr>
          <w:rFonts w:ascii="Times New Roman" w:hAnsi="Times New Roman" w:cs="Times New Roman"/>
          <w:b/>
        </w:rPr>
        <w:t>UKUPNE I DOSPJELE OBVEZE</w:t>
      </w:r>
    </w:p>
    <w:p w14:paraId="6095ACD4" w14:textId="420A07EF" w:rsidR="00AB2607" w:rsidRPr="00AB2607" w:rsidRDefault="00AB2607" w:rsidP="00AB2607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Stanje ukupnih nedospjelih obveza na dan 31. prosinca 202</w:t>
      </w:r>
      <w:r w:rsidR="0038508F">
        <w:rPr>
          <w:rFonts w:ascii="Times New Roman" w:hAnsi="Times New Roman" w:cs="Times New Roman"/>
        </w:rPr>
        <w:t>4</w:t>
      </w:r>
      <w:r w:rsidRPr="00AB2607">
        <w:rPr>
          <w:rFonts w:ascii="Times New Roman" w:hAnsi="Times New Roman" w:cs="Times New Roman"/>
        </w:rPr>
        <w:t xml:space="preserve">. iznosi </w:t>
      </w:r>
      <w:r w:rsidR="00D17BF7">
        <w:rPr>
          <w:rFonts w:ascii="Times New Roman" w:hAnsi="Times New Roman" w:cs="Times New Roman"/>
        </w:rPr>
        <w:t>603.659</w:t>
      </w:r>
      <w:r w:rsidR="00A0729F">
        <w:rPr>
          <w:rFonts w:ascii="Times New Roman" w:hAnsi="Times New Roman" w:cs="Times New Roman"/>
        </w:rPr>
        <w:t xml:space="preserve"> </w:t>
      </w:r>
      <w:r w:rsidRPr="00AB2607">
        <w:rPr>
          <w:rFonts w:ascii="Times New Roman" w:hAnsi="Times New Roman" w:cs="Times New Roman"/>
        </w:rPr>
        <w:t>eura. Najveći dio nedospjelih obveza odnosi se na plaću za prosinac koja je isplaćena u siječnju 202</w:t>
      </w:r>
      <w:r w:rsidR="0038508F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</w:t>
      </w:r>
    </w:p>
    <w:p w14:paraId="69143DD8" w14:textId="7B4EE611" w:rsidR="00AB2607" w:rsidRPr="00AB2607" w:rsidRDefault="00AB2607" w:rsidP="00AB2607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Stanje ukupnih nedospjelih obveza na dan 30. lipnja 202</w:t>
      </w:r>
      <w:r w:rsidR="0038508F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 xml:space="preserve">. iznosilo je  </w:t>
      </w:r>
      <w:r w:rsidR="00D17BF7">
        <w:rPr>
          <w:rFonts w:ascii="Times New Roman" w:hAnsi="Times New Roman" w:cs="Times New Roman"/>
        </w:rPr>
        <w:t>429.941</w:t>
      </w:r>
      <w:r w:rsidRPr="00AB2607">
        <w:rPr>
          <w:rFonts w:ascii="Times New Roman" w:hAnsi="Times New Roman" w:cs="Times New Roman"/>
        </w:rPr>
        <w:t xml:space="preserve"> eura od čega se najveći dio odnosio na obveze za isplatu plaće za lipanj 202</w:t>
      </w:r>
      <w:r w:rsidR="0038508F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 koja je bila isplaćena u srpnju 202</w:t>
      </w:r>
      <w:r w:rsidR="0038508F">
        <w:rPr>
          <w:rFonts w:ascii="Times New Roman" w:hAnsi="Times New Roman" w:cs="Times New Roman"/>
        </w:rPr>
        <w:t>5</w:t>
      </w:r>
      <w:r w:rsidRPr="00AB2607">
        <w:rPr>
          <w:rFonts w:ascii="Times New Roman" w:hAnsi="Times New Roman" w:cs="Times New Roman"/>
        </w:rPr>
        <w:t>.</w:t>
      </w:r>
    </w:p>
    <w:p w14:paraId="489578D6" w14:textId="77777777" w:rsidR="00186B7B" w:rsidRPr="00AB2607" w:rsidRDefault="00FB5363" w:rsidP="00624C16">
      <w:pPr>
        <w:spacing w:line="240" w:lineRule="auto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>St</w:t>
      </w:r>
      <w:r w:rsidR="00186B7B" w:rsidRPr="00AB2607">
        <w:rPr>
          <w:rFonts w:ascii="Times New Roman" w:hAnsi="Times New Roman" w:cs="Times New Roman"/>
        </w:rPr>
        <w:t xml:space="preserve">anje ukupnih i dospjelih obveza na dan 31. prosinca prethodne godine i </w:t>
      </w:r>
      <w:r w:rsidR="00DD2586" w:rsidRPr="00AB2607">
        <w:rPr>
          <w:rFonts w:ascii="Times New Roman" w:hAnsi="Times New Roman" w:cs="Times New Roman"/>
        </w:rPr>
        <w:t>na dan 30. lipnja tekuće godine</w:t>
      </w:r>
      <w:r w:rsidRPr="00AB2607">
        <w:rPr>
          <w:rFonts w:ascii="Times New Roman" w:hAnsi="Times New Roman" w:cs="Times New Roman"/>
        </w:rPr>
        <w:t xml:space="preserve"> izgleda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AB2607" w14:paraId="5717B30F" w14:textId="77777777" w:rsidTr="009D7CA0">
        <w:tc>
          <w:tcPr>
            <w:tcW w:w="1838" w:type="dxa"/>
          </w:tcPr>
          <w:p w14:paraId="29497CC4" w14:textId="77777777" w:rsidR="009D7CA0" w:rsidRPr="00AB2607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442893" w14:textId="280E54A9" w:rsidR="009D7CA0" w:rsidRPr="00AB2607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Stanje obveza na dan 31.12.202</w:t>
            </w:r>
            <w:r w:rsidR="0038508F">
              <w:rPr>
                <w:rFonts w:ascii="Times New Roman" w:hAnsi="Times New Roman" w:cs="Times New Roman"/>
              </w:rPr>
              <w:t>4</w:t>
            </w:r>
            <w:r w:rsidRPr="00AB2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14:paraId="68D539CF" w14:textId="0BD57855" w:rsidR="009D7CA0" w:rsidRPr="00AB2607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Stanje obveza na dan 30.06.202</w:t>
            </w:r>
            <w:r w:rsidR="0038508F">
              <w:rPr>
                <w:rFonts w:ascii="Times New Roman" w:hAnsi="Times New Roman" w:cs="Times New Roman"/>
              </w:rPr>
              <w:t>5</w:t>
            </w:r>
            <w:r w:rsidRPr="00AB2607">
              <w:rPr>
                <w:rFonts w:ascii="Times New Roman" w:hAnsi="Times New Roman" w:cs="Times New Roman"/>
              </w:rPr>
              <w:t>.</w:t>
            </w:r>
          </w:p>
        </w:tc>
      </w:tr>
      <w:tr w:rsidR="009D7CA0" w:rsidRPr="00AB2607" w14:paraId="5A04A9E0" w14:textId="77777777" w:rsidTr="009D7CA0">
        <w:tc>
          <w:tcPr>
            <w:tcW w:w="1838" w:type="dxa"/>
          </w:tcPr>
          <w:p w14:paraId="433D36C4" w14:textId="77777777" w:rsidR="009D7CA0" w:rsidRPr="00AB2607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Ukupne obveze</w:t>
            </w:r>
          </w:p>
        </w:tc>
        <w:tc>
          <w:tcPr>
            <w:tcW w:w="3544" w:type="dxa"/>
          </w:tcPr>
          <w:p w14:paraId="1E6AE1C2" w14:textId="04307DF2" w:rsidR="009D7CA0" w:rsidRPr="00AB2607" w:rsidRDefault="00D17BF7" w:rsidP="00597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603.659</w:t>
            </w:r>
          </w:p>
        </w:tc>
        <w:tc>
          <w:tcPr>
            <w:tcW w:w="3680" w:type="dxa"/>
          </w:tcPr>
          <w:p w14:paraId="0563A02E" w14:textId="0FF200BD" w:rsidR="009D7CA0" w:rsidRPr="00AB2607" w:rsidRDefault="00D17BF7" w:rsidP="00597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429.941</w:t>
            </w:r>
          </w:p>
        </w:tc>
      </w:tr>
      <w:tr w:rsidR="009D7CA0" w:rsidRPr="00AB2607" w14:paraId="304F0E26" w14:textId="77777777" w:rsidTr="009D7CA0">
        <w:tc>
          <w:tcPr>
            <w:tcW w:w="1838" w:type="dxa"/>
          </w:tcPr>
          <w:p w14:paraId="7FF5D3CF" w14:textId="77777777" w:rsidR="009D7CA0" w:rsidRPr="00AB2607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AB2607">
              <w:rPr>
                <w:rFonts w:ascii="Times New Roman" w:hAnsi="Times New Roman" w:cs="Times New Roman"/>
              </w:rPr>
              <w:t>Dospjele obveze</w:t>
            </w:r>
          </w:p>
        </w:tc>
        <w:tc>
          <w:tcPr>
            <w:tcW w:w="3544" w:type="dxa"/>
          </w:tcPr>
          <w:p w14:paraId="14CB9973" w14:textId="25B712D9" w:rsidR="009D7CA0" w:rsidRPr="00AB2607" w:rsidRDefault="00D17BF7" w:rsidP="00597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3680" w:type="dxa"/>
          </w:tcPr>
          <w:p w14:paraId="61CA7DF5" w14:textId="685477B5" w:rsidR="009D7CA0" w:rsidRPr="00AB2607" w:rsidRDefault="00D17BF7" w:rsidP="00597B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</w:tr>
    </w:tbl>
    <w:p w14:paraId="63DEA217" w14:textId="77777777" w:rsidR="00951918" w:rsidRPr="00AB2607" w:rsidRDefault="00A618BD" w:rsidP="00A618BD">
      <w:pPr>
        <w:tabs>
          <w:tab w:val="left" w:pos="1416"/>
        </w:tabs>
        <w:spacing w:line="240" w:lineRule="auto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</w:rPr>
        <w:tab/>
      </w:r>
    </w:p>
    <w:p w14:paraId="6EFD47D6" w14:textId="77777777" w:rsidR="00A618BD" w:rsidRPr="00AB2607" w:rsidRDefault="00A618BD" w:rsidP="00A618BD">
      <w:pPr>
        <w:tabs>
          <w:tab w:val="left" w:pos="1416"/>
        </w:tabs>
        <w:spacing w:line="240" w:lineRule="auto"/>
        <w:rPr>
          <w:rFonts w:ascii="Times New Roman" w:hAnsi="Times New Roman" w:cs="Times New Roman"/>
        </w:rPr>
      </w:pPr>
    </w:p>
    <w:p w14:paraId="05B9C3C6" w14:textId="5DB84452" w:rsidR="00951918" w:rsidRPr="00AB2607" w:rsidRDefault="00951918" w:rsidP="0095191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AB2607">
        <w:rPr>
          <w:rFonts w:ascii="Times New Roman" w:hAnsi="Times New Roman" w:cs="Times New Roman"/>
          <w:color w:val="000000" w:themeColor="text1"/>
        </w:rPr>
        <w:t>U Rijeci,</w:t>
      </w:r>
      <w:r w:rsidR="002433ED" w:rsidRPr="00AB2607">
        <w:rPr>
          <w:rFonts w:ascii="Times New Roman" w:hAnsi="Times New Roman" w:cs="Times New Roman"/>
          <w:color w:val="000000" w:themeColor="text1"/>
        </w:rPr>
        <w:t xml:space="preserve"> </w:t>
      </w:r>
      <w:r w:rsidR="003A1484">
        <w:rPr>
          <w:rFonts w:ascii="Times New Roman" w:hAnsi="Times New Roman" w:cs="Times New Roman"/>
          <w:color w:val="000000" w:themeColor="text1"/>
        </w:rPr>
        <w:t>9. prosinca</w:t>
      </w:r>
      <w:r w:rsidR="00027686">
        <w:rPr>
          <w:rFonts w:ascii="Times New Roman" w:hAnsi="Times New Roman" w:cs="Times New Roman"/>
          <w:color w:val="000000" w:themeColor="text1"/>
        </w:rPr>
        <w:t xml:space="preserve"> </w:t>
      </w:r>
      <w:r w:rsidR="0038508F">
        <w:rPr>
          <w:rFonts w:ascii="Times New Roman" w:hAnsi="Times New Roman" w:cs="Times New Roman"/>
          <w:color w:val="000000" w:themeColor="text1"/>
        </w:rPr>
        <w:t>2025.</w:t>
      </w:r>
      <w:r w:rsidR="00027686">
        <w:rPr>
          <w:rFonts w:ascii="Times New Roman" w:hAnsi="Times New Roman" w:cs="Times New Roman"/>
          <w:color w:val="000000" w:themeColor="text1"/>
        </w:rPr>
        <w:tab/>
      </w:r>
      <w:r w:rsidR="00027686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</w:r>
      <w:r w:rsidRPr="00AB2607">
        <w:rPr>
          <w:rFonts w:ascii="Times New Roman" w:hAnsi="Times New Roman" w:cs="Times New Roman"/>
          <w:color w:val="000000" w:themeColor="text1"/>
        </w:rPr>
        <w:tab/>
        <w:t>Dekanica:</w:t>
      </w:r>
    </w:p>
    <w:p w14:paraId="42982D1D" w14:textId="77777777" w:rsidR="00930827" w:rsidRPr="00AB2607" w:rsidRDefault="00930827" w:rsidP="005F66CE">
      <w:pPr>
        <w:spacing w:before="120" w:after="120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14:paraId="6307957D" w14:textId="77777777" w:rsidR="00951918" w:rsidRPr="00AB2607" w:rsidRDefault="00951918" w:rsidP="005F66CE">
      <w:pPr>
        <w:spacing w:before="120" w:after="120"/>
        <w:ind w:left="5664"/>
        <w:jc w:val="both"/>
        <w:rPr>
          <w:rFonts w:ascii="Times New Roman" w:hAnsi="Times New Roman" w:cs="Times New Roman"/>
        </w:rPr>
      </w:pPr>
      <w:r w:rsidRPr="00AB2607">
        <w:rPr>
          <w:rFonts w:ascii="Times New Roman" w:hAnsi="Times New Roman" w:cs="Times New Roman"/>
          <w:color w:val="000000" w:themeColor="text1"/>
        </w:rPr>
        <w:t>prof. dr. sc. Ana Perić Hadžić</w:t>
      </w:r>
    </w:p>
    <w:sectPr w:rsidR="00951918" w:rsidRPr="00AB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1ADC"/>
    <w:rsid w:val="000273F9"/>
    <w:rsid w:val="00027686"/>
    <w:rsid w:val="00044BAC"/>
    <w:rsid w:val="00057E25"/>
    <w:rsid w:val="000732E4"/>
    <w:rsid w:val="000A1A2E"/>
    <w:rsid w:val="000D0A1C"/>
    <w:rsid w:val="000E139D"/>
    <w:rsid w:val="00124873"/>
    <w:rsid w:val="00143083"/>
    <w:rsid w:val="00171EE0"/>
    <w:rsid w:val="00186B7B"/>
    <w:rsid w:val="002433ED"/>
    <w:rsid w:val="00245B1D"/>
    <w:rsid w:val="0029735D"/>
    <w:rsid w:val="00297F7A"/>
    <w:rsid w:val="002B60FE"/>
    <w:rsid w:val="002C15E8"/>
    <w:rsid w:val="00371943"/>
    <w:rsid w:val="0038508F"/>
    <w:rsid w:val="003A1484"/>
    <w:rsid w:val="003A22DB"/>
    <w:rsid w:val="003D2984"/>
    <w:rsid w:val="00407290"/>
    <w:rsid w:val="00415503"/>
    <w:rsid w:val="0041694B"/>
    <w:rsid w:val="00425E43"/>
    <w:rsid w:val="00466878"/>
    <w:rsid w:val="004773FE"/>
    <w:rsid w:val="00484CEE"/>
    <w:rsid w:val="0049753D"/>
    <w:rsid w:val="004A406D"/>
    <w:rsid w:val="004C1038"/>
    <w:rsid w:val="00501E22"/>
    <w:rsid w:val="005722A3"/>
    <w:rsid w:val="00596C4B"/>
    <w:rsid w:val="00597B1C"/>
    <w:rsid w:val="005B5F53"/>
    <w:rsid w:val="005C1418"/>
    <w:rsid w:val="005F66CE"/>
    <w:rsid w:val="00605080"/>
    <w:rsid w:val="00614C12"/>
    <w:rsid w:val="00620E9F"/>
    <w:rsid w:val="00624C16"/>
    <w:rsid w:val="006A0590"/>
    <w:rsid w:val="0072334A"/>
    <w:rsid w:val="0077303A"/>
    <w:rsid w:val="007852CE"/>
    <w:rsid w:val="00787D1F"/>
    <w:rsid w:val="007B6A4C"/>
    <w:rsid w:val="00877594"/>
    <w:rsid w:val="00886D68"/>
    <w:rsid w:val="008A21FD"/>
    <w:rsid w:val="008E69EE"/>
    <w:rsid w:val="009074C0"/>
    <w:rsid w:val="00930827"/>
    <w:rsid w:val="0094274B"/>
    <w:rsid w:val="00951918"/>
    <w:rsid w:val="00974117"/>
    <w:rsid w:val="00975BA7"/>
    <w:rsid w:val="009D7CA0"/>
    <w:rsid w:val="00A0729F"/>
    <w:rsid w:val="00A35E28"/>
    <w:rsid w:val="00A6013C"/>
    <w:rsid w:val="00A618BD"/>
    <w:rsid w:val="00A64D16"/>
    <w:rsid w:val="00A85399"/>
    <w:rsid w:val="00AB2607"/>
    <w:rsid w:val="00AC288F"/>
    <w:rsid w:val="00AC5AF7"/>
    <w:rsid w:val="00AE2812"/>
    <w:rsid w:val="00B4366D"/>
    <w:rsid w:val="00B4557E"/>
    <w:rsid w:val="00B7793B"/>
    <w:rsid w:val="00BA2549"/>
    <w:rsid w:val="00BF44C6"/>
    <w:rsid w:val="00CA12E2"/>
    <w:rsid w:val="00D019AB"/>
    <w:rsid w:val="00D17BF7"/>
    <w:rsid w:val="00D47A20"/>
    <w:rsid w:val="00DB145C"/>
    <w:rsid w:val="00DD2586"/>
    <w:rsid w:val="00DF778D"/>
    <w:rsid w:val="00E34EA9"/>
    <w:rsid w:val="00E35379"/>
    <w:rsid w:val="00E57115"/>
    <w:rsid w:val="00E74D93"/>
    <w:rsid w:val="00EC7143"/>
    <w:rsid w:val="00F11079"/>
    <w:rsid w:val="00F471E7"/>
    <w:rsid w:val="00F70550"/>
    <w:rsid w:val="00FB5363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FD9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42</cp:revision>
  <cp:lastPrinted>2024-11-07T13:14:00Z</cp:lastPrinted>
  <dcterms:created xsi:type="dcterms:W3CDTF">2022-09-28T15:06:00Z</dcterms:created>
  <dcterms:modified xsi:type="dcterms:W3CDTF">2025-12-12T07:00:00Z</dcterms:modified>
</cp:coreProperties>
</file>